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t>Chapter 15: Summary</w:t>
      </w:r>
    </w:p>
    <w:p>
      <w:pPr>
        <w:spacing w:before="120" w:after="120" w:line="288" w:lineRule="auto"/>
        <w:ind w:left="0"/>
        <w:jc w:val="left"/>
      </w:pPr>
      <w:r>
        <w:rPr>
          <w:rFonts w:eastAsia="等线" w:ascii="Arial" w:cs="Arial" w:hAnsi="Arial"/>
          <w:sz w:val="22"/>
        </w:rPr>
        <w:t>The Jetson Orin Nano Super Kit Development Guide systematically constructs a whole-house technology path from hardware configuration to AI front application. A fast-track guide is used as a starting point to guide readers progressively towards environmental deployment, basic programming and hardware control, and solidly enhances the ability to develop peripheral equipment through detailed visual processing, robotic operating systems (ROS) and deep learning cases. Into larger model chapters, the Academy more proactively covers the full realization of offline and online multimodular applications, opening new horizons for readers to deploy smart voice, visual and interactive systems locally. The full text is close to the field and is clear at the level of a system curriculum developed by beginners and provides progressive developers with a comprehensive reference that combines the classic visual framework with a new generation of AI technology, helping readers quickly to cross the theoretical to the applied field of marginal computing and embedded AI.</w:t>
      </w:r>
    </w:p>
    <w:p>
      <w:pPr>
        <w:spacing w:before="120" w:after="120" w:line="288" w:lineRule="auto"/>
        <w:ind w:left="0"/>
        <w:jc w:val="left"/>
      </w:pPr>
    </w:p>
    <w:sectPr>
      <w:footerReference w:type="default" r:id="rId3"/>
      <w:headerReference w:type="default" r:id="rId4"/>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2026-03-31T06:48:26Z</dcterms:created>
  <dc:creator>Apache POI</dc:creator>
</cp:coreProperties>
</file>